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974725</wp:posOffset>
                </wp:positionV>
                <wp:extent cx="6038850" cy="9525"/>
                <wp:effectExtent l="0" t="38100" r="57150" b="666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 w="952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05pt;margin-top:76.75pt;height:0.75pt;width:475.5pt;mso-position-horizontal-relative:margin;z-index:251660288;mso-width-relative:page;mso-height-relative:page;" filled="f" stroked="t" coordsize="21600,21600" o:gfxdata="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22Kf9gAAAAKAQAADwAAAAAAAAABACAAAAAiAAAAZHJzL2Rvd25yZXYueG1sUEsBAhQAFAAAAAgA&#10;h07iQNyw0bzsAQAAuwMAAA4AAAAAAAAAAQAgAAAAJwEAAGRycy9lMm9Eb2MueG1sUEsFBgAAAAAG&#10;AAYAWQEAAIUFAAAAAA==&#10;">
                <v:fill on="f" focussize="0,0"/>
                <v:stroke weight="7.5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0</wp:posOffset>
                </wp:positionV>
                <wp:extent cx="6124575" cy="866775"/>
                <wp:effectExtent l="0" t="0" r="9525" b="952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b/>
                                <w:color w:val="FF0000"/>
                                <w:position w:val="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0000"/>
                                <w:spacing w:val="-40"/>
                                <w:position w:val="6"/>
                                <w:sz w:val="90"/>
                                <w:szCs w:val="90"/>
                              </w:rPr>
                              <w:t xml:space="preserve">重 庆 教 育 后 勤 协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0000"/>
                                <w:position w:val="6"/>
                                <w:sz w:val="90"/>
                                <w:szCs w:val="90"/>
                              </w:rPr>
                              <w:t xml:space="preserve">会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25pt;margin-top:0pt;height:68.25pt;width:482.25pt;mso-position-horizontal-relative:margin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K+ZedQAAAAHAQAADwAAAAAAAAABACAAAAAiAAAAZHJzL2Rvd25yZXYu&#10;eG1sUEsBAhQAFAAAAAgAh07iQIRhuKs4AgAAVAQAAA4AAAAAAAAAAQAgAAAAIwEAAGRycy9lMm9E&#10;b2MueG1sUEsFBgAAAAAGAAYAWQEAAM0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b/>
                          <w:color w:val="FF0000"/>
                          <w:position w:val="6"/>
                          <w:sz w:val="90"/>
                          <w:szCs w:val="9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0000"/>
                          <w:spacing w:val="-40"/>
                          <w:position w:val="6"/>
                          <w:sz w:val="90"/>
                          <w:szCs w:val="90"/>
                        </w:rPr>
                        <w:t xml:space="preserve">重 庆 教 育 后 勤 协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0000"/>
                          <w:position w:val="6"/>
                          <w:sz w:val="90"/>
                          <w:szCs w:val="90"/>
                        </w:rPr>
                        <w:t xml:space="preserve">会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                               </w:t>
      </w:r>
    </w:p>
    <w:p>
      <w:pPr>
        <w:spacing w:line="56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关于公布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企业会员名单</w:t>
      </w:r>
      <w:r>
        <w:rPr>
          <w:rFonts w:hint="eastAsia" w:ascii="方正小标宋_GBK" w:hAnsi="宋体" w:eastAsia="方正小标宋_GBK"/>
          <w:b/>
          <w:sz w:val="44"/>
          <w:szCs w:val="44"/>
        </w:rPr>
        <w:t>的通知</w:t>
      </w: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after="0"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宋体" w:eastAsia="仿宋_GB2312"/>
          <w:sz w:val="28"/>
          <w:szCs w:val="28"/>
        </w:rPr>
        <w:t>单位：</w:t>
      </w:r>
    </w:p>
    <w:p>
      <w:pPr>
        <w:spacing w:after="0"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将协会换届以来</w:t>
      </w:r>
      <w:r>
        <w:rPr>
          <w:rFonts w:hint="eastAsia" w:ascii="仿宋_GB2312" w:hAnsi="宋体" w:eastAsia="仿宋_GB2312"/>
          <w:sz w:val="28"/>
          <w:szCs w:val="28"/>
        </w:rPr>
        <w:t>取得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重庆教育后勤协会企业会员资格</w:t>
      </w:r>
      <w:r>
        <w:rPr>
          <w:rFonts w:hint="eastAsia" w:ascii="仿宋_GB2312" w:hAnsi="宋体" w:eastAsia="仿宋_GB2312"/>
          <w:sz w:val="28"/>
          <w:szCs w:val="28"/>
        </w:rPr>
        <w:t>的单位公布于后，企业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宋体" w:eastAsia="仿宋_GB2312"/>
          <w:sz w:val="28"/>
          <w:szCs w:val="28"/>
        </w:rPr>
        <w:t>超过一年没有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审核</w:t>
      </w:r>
      <w:r>
        <w:rPr>
          <w:rFonts w:hint="eastAsia" w:ascii="仿宋_GB2312" w:hAnsi="宋体" w:eastAsia="仿宋_GB2312"/>
          <w:sz w:val="28"/>
          <w:szCs w:val="28"/>
        </w:rPr>
        <w:t>的协会将视为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退会</w:t>
      </w:r>
      <w:r>
        <w:rPr>
          <w:rFonts w:hint="eastAsia" w:ascii="仿宋_GB2312" w:hAnsi="宋体" w:eastAsia="仿宋_GB2312"/>
          <w:sz w:val="28"/>
          <w:szCs w:val="28"/>
        </w:rPr>
        <w:t>（将不在此名单之列）,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关于企业的具体经营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范围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会员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证书内容为准</w:t>
      </w:r>
      <w:r>
        <w:rPr>
          <w:rFonts w:hint="eastAsia" w:ascii="仿宋_GB2312" w:hAnsi="宋体" w:eastAsia="仿宋_GB2312"/>
          <w:sz w:val="28"/>
          <w:szCs w:val="28"/>
        </w:rPr>
        <w:t>,企业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会员</w:t>
      </w:r>
      <w:r>
        <w:rPr>
          <w:rFonts w:ascii="仿宋_GB2312" w:hAnsi="宋体" w:eastAsia="仿宋_GB2312"/>
          <w:sz w:val="28"/>
          <w:szCs w:val="28"/>
        </w:rPr>
        <w:t>名单每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>月底更新一次。</w:t>
      </w:r>
    </w:p>
    <w:p>
      <w:pPr>
        <w:spacing w:after="0"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家具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重庆昆鹏家具有限公司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重庆宏宇家具有限公司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重庆市澜林教学设备有限公司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重庆市恒洪教学设备有限公司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重庆民意家具制造有限公司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重庆普惠教学设备有限公司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重庆华亚家私有限公司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重庆市港风办公家私有限公司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重庆军毅家具有限公司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四川省永亨实业有限责任公司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欧菲斯办公伙伴重庆有限公司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重庆中泽家具有限公司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重庆久哥商贸有限公司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威欧浩思家居有限公司</w:t>
      </w: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床上用品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重庆市棉麻集团有限公司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重庆市松诚纺织品有限公司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重庆舒梦纺织品有限公司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重庆市南岸区柯兰床上用品厂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重庆成宇棉纺织品有限公司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重庆建荣针纺织品有限公司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重庆三诚棉纺织品有限公司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重庆泰来纺织品有限公司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重庆湖滨商贸有限公司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重庆佳妍棉织品有限公司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重庆乐业居家纺有限公司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重庆弘亚床上用品有限公司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重庆小林被服有限公司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重庆市俊业床上用品有限公司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重庆永亚实业发展有限责任公司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重庆卓永纺织品有限公司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重庆沙鸥被服厂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沙坪坝区琳宇床上用品制造厂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重庆美家圆商贸有限公司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南岸区渝冠服装经营部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重庆民康纺织有限公司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重庆艾琳针纺织品有限公司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重庆豪纳斯纺织品有限公司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四川乐棉床上用品有限公司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重庆市重棉家纺有限责任公司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重庆棉皇纺织品有限公司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重庆珈贝商贸有限公司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重庆然牌科技发展有限公司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重庆市澳思梦床上用品有限公司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重庆鑫丰利商贸有限公司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重庆朵棉科技有限公司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重庆市裕维腾商贸有限公司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重庆旋艺商贸有限公司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石柱土家族自治县紫藤服饰厂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重庆鑫永诚纺织有限责任公司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成都星思宇家纺有限公司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重庆市南川区年学棉絮加工厂</w:t>
      </w: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服装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九龙坡区富强服装厂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重庆追派服装有限公司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</w:t>
      </w:r>
      <w:r>
        <w:rPr>
          <w:rFonts w:hint="eastAsia" w:ascii="宋体" w:hAnsi="宋体" w:cs="宋体"/>
          <w:sz w:val="28"/>
          <w:szCs w:val="28"/>
        </w:rPr>
        <w:t>犇</w:t>
      </w:r>
      <w:r>
        <w:rPr>
          <w:rFonts w:hint="eastAsia" w:ascii="仿宋_GB2312" w:hAnsi="仿宋_GB2312" w:eastAsia="仿宋_GB2312" w:cs="仿宋_GB2312"/>
          <w:sz w:val="28"/>
          <w:szCs w:val="28"/>
        </w:rPr>
        <w:t>鑫服饰有限公司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重庆源泰服饰有限公司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重庆晓佳服装有限公司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巴南区平安服装经营部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重庆市莱雅服饰有限公司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重庆市北碚区先立布厂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重庆立泰服饰集团有限公司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重庆新杰服装有限公司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重庆恩璐商贸有限公司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重庆红冠服饰有限公司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四川成军服装有限公司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重庆柏艺顺服饰有限公司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重庆翔诺实业有限公司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成都波尔顿服饰有限公司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重庆竞豪商贸有限公司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重庆贝德服饰集团有限公司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重庆玺睿服饰有限公司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重庆景洛服饰有限公司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重庆市衿华服饰有限公司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重庆法诗顿服饰集团有限公司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重庆森威服饰集团有限公司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重庆段氏服饰实业有限公司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重庆市英琦服饰有限公司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重庆市名派服饰有限公司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重庆市璧山区家之春被服有限公司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重庆泳沐泽商贸有限公司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重庆青于蓝教育科技有限公司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重庆市尚讯服饰有限公司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重庆梦之诗服饰有限公司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重庆鹭伊丹服饰集团有限公司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重庆珂恩得实业有限公司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重庆卫之情服饰有限公司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重庆冯兵商贸有限公司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重庆戴蒙服饰有限责任公司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重庆结美雅服饰有限公司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重庆笃仁商贸有限公司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重庆红渝制衣有限公司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四川滕逸服饰有限公司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重庆津岐科技有限公司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四川阿德尔曼服饰有限公司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重庆尚上服饰有限公司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重庆圣特维拉服饰有限公司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重庆聚布添羽商贸有限公司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重庆领彩实业集团有限公司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重庆仁尚服饰有限公司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重庆锦衣纺织品有限公司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扬州民欣纺织品制造有限公司 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新兴际华国际贸易有限公司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江苏虎豹集团有限公司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重庆耐斯布艺有限公司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重庆芷林萱服饰有限公司</w:t>
      </w:r>
    </w:p>
    <w:p>
      <w:pPr>
        <w:widowControl w:val="0"/>
        <w:spacing w:after="0" w:line="500" w:lineRule="exact"/>
        <w:jc w:val="both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重庆臻礼业科技有限公司</w:t>
      </w:r>
    </w:p>
    <w:p>
      <w:pPr>
        <w:widowControl w:val="0"/>
        <w:spacing w:after="0" w:line="500" w:lineRule="exact"/>
        <w:jc w:val="both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东蒙集团有限公司</w:t>
      </w:r>
    </w:p>
    <w:p>
      <w:pPr>
        <w:widowControl w:val="0"/>
        <w:spacing w:after="0" w:line="500" w:lineRule="exact"/>
        <w:jc w:val="both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臻至（重庆）服饰有限公司</w:t>
      </w:r>
    </w:p>
    <w:p>
      <w:pPr>
        <w:widowControl w:val="0"/>
        <w:spacing w:after="0" w:line="500" w:lineRule="exact"/>
        <w:jc w:val="both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重庆亿乐新超市管理有限公司</w:t>
      </w:r>
    </w:p>
    <w:p>
      <w:pPr>
        <w:widowControl w:val="0"/>
        <w:spacing w:after="0" w:line="500" w:lineRule="exact"/>
        <w:jc w:val="both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重庆天雅制衣有限公司</w:t>
      </w:r>
    </w:p>
    <w:p>
      <w:pPr>
        <w:widowControl w:val="0"/>
        <w:spacing w:after="0" w:line="500" w:lineRule="exact"/>
        <w:jc w:val="both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成都凯润腾达实业有限公司</w:t>
      </w:r>
    </w:p>
    <w:p>
      <w:pPr>
        <w:widowControl w:val="0"/>
        <w:spacing w:after="0" w:line="500" w:lineRule="exact"/>
        <w:jc w:val="both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重庆芸熙服装有限公司</w:t>
      </w:r>
    </w:p>
    <w:p>
      <w:pPr>
        <w:widowControl w:val="0"/>
        <w:spacing w:after="0" w:line="500" w:lineRule="exact"/>
        <w:jc w:val="both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重庆弘博士服饰集团有限公司</w:t>
      </w:r>
    </w:p>
    <w:p>
      <w:pPr>
        <w:widowControl w:val="0"/>
        <w:spacing w:after="0" w:line="500" w:lineRule="exact"/>
        <w:jc w:val="both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重庆市巴南区陆氏服装加工厂</w:t>
      </w:r>
    </w:p>
    <w:p>
      <w:pPr>
        <w:widowControl w:val="0"/>
        <w:spacing w:after="0" w:line="500" w:lineRule="exact"/>
        <w:jc w:val="both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成都宏冠服饰有限公司</w:t>
      </w: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水电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世典（重庆）环保工程有限公司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重庆摩尔水处理设备有限公司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四川光美照明工程有限公司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重庆昕杰环保科技有限公司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重庆浩通机电设备有限公司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重庆佳丰物资有限公司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重庆亨国贸易有限公司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重庆凯红茂路贸易有限公司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重庆庆臻嘉晨商贸有限公司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重庆友博科斯商贸有限公司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重庆能帕科技有限公司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重庆银拓信息技术有限责任公司</w:t>
      </w: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厨房设备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重庆千久金属制品有限公司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重庆高发工贸有限公司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重庆华邦厨房设备有限公司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重庆唐人恒强厨房设备制造有限公司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重庆雨良洁牌化工产品有限公司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重庆新佳杰厨房设备有限公司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重庆欧润厨房设备有限公司</w:t>
      </w:r>
    </w:p>
    <w:p>
      <w:pPr>
        <w:spacing w:after="0" w:line="50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肉类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重庆市涪陵区生意洪食品有限公司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重庆结义食品有限公司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钟跃武（个体）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重庆兰威农副产品销售中心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重庆市巴南教育发展有限公司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重庆久运农产品销售有限公司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胡宗奎（个体）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尹邦春（个体）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重庆密邻商贸有限责任公司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重庆烨原冷冻食品有限公司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重庆渝教科贸集团有限公司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重庆年维食品有限公司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南岸区王伦农产品经营部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重庆传发食品有限公司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重庆捷翠食品有限公司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沙坪坝区容宁水产经营部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重庆市涪陵区建勇肉制品厂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重庆市瑞年来食品有限公司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重庆旺峰肉业有限公司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重庆市望家欢农副产品配送有限公司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重庆可明食品有限公司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重庆长农农副产品有限公司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重庆遂阳食品有限公司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重庆腾驰食品有限公司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重庆兰岗农副产品有限公司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重庆农创农副产品有限公司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重庆琪金食品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集团</w:t>
      </w:r>
      <w:r>
        <w:rPr>
          <w:rFonts w:hint="eastAsia" w:ascii="仿宋_GB2312" w:hAnsi="宋体" w:eastAsia="仿宋_GB2312"/>
          <w:sz w:val="28"/>
          <w:szCs w:val="28"/>
        </w:rPr>
        <w:t>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重庆哲豪农业发展有限公司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重庆农投肉食品有限公司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福建福美鲜食品有限公司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重庆德佳肉类科技发展有限公司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重庆福壤商贸连锁有限公司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重庆市阔态农副产品经营部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重庆田之乐农业发展股份有限公司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重庆松辉农业发展有限公司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重庆倍禧农业股份有限公司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重庆均安食品销售有限公司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蒲代均（个体）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重庆市日奕食品有限公司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重庆均鸿食品有限公司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重庆渝昌源食品有限公司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重庆林一凡食品有限公司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重庆鲜渝沣农业开发有限公司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沙坪坝区何德胜食品批发部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重庆品绿商贸有限公司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重庆蓁耀盛贸易有限公司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重庆海粥王餐饮文化有限公司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重庆益之鲜农副产品有限公司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重庆五洲世纪健康管理有限公司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重庆猪八哥农副产品有限公司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重庆堂林农副产品有限公司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重庆鑫纯农产品销售有限公司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涪陵区吴幺妹水产品经营部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重庆罗宏盛梁农产品有限公司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重庆盛军鸿食品有限公司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重庆市涪陵区宏吉肉类食品有限公司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重庆民和丰农产品配送有限公司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重庆客莱诺食品有限公司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重庆农投恒天冷链物流有限公司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重庆零下十八度科技有限公司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重庆市葵旺农产品销售有限公司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重庆宏喜多农业发展有限责任公司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江北区龙冠食品经营部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重庆市香悦乐商贸有限公司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重庆润冠食品有限公司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重庆香玥轩食品有限公司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重庆欣享鲜商贸有限公司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重庆市新荷丰食品有限公司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夏来喜（个体）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重庆宙宇农业开发有限公司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重庆益垦农业有限公司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重庆华潘食品有限公司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重庆山徒食品有限公司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重庆垚佳农业有限公司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重庆维邦商贸有限公司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重庆市永川区金瑞丰冷冻食品有限公司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重庆鎏鑫食品有限公司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重庆瀚澜食品有限公司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重庆双福津福农产品销售有限公司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重庆旭帆食品有限公司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重庆德速食品配送有限公司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沙坪坝区钟四二冻品经营部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重庆福美鲜食品有限公司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重庆几何食品有限公司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重庆瑞芯食品有限公司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重庆白市驿板鸭食品有限责任公司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江津区渝辉冻品经营部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重庆淼犇人力资源管理有限公司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重庆鑫全富商贸有限公司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重庆优配农产品配送有限公司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重庆英缘生态农业有限公司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重庆小溢家餐饮管理有限公司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重庆绿之鲜冷链物流有限公司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重庆鲜康农产品配送有限公司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重庆巴山红食品有限公司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重庆悦生合商贸有限公司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重庆市优潼供应链管理有限公司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重庆庆颐食品有限公司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重庆市永川区糖巢商贸有限公司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永川区曹小华鲜肉店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重庆海怡添商贸有限公司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重庆冷蓉食品配送有限公司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重庆宏历源食品有限公司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重庆恒全农副产品配送有限公司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重庆沁淼农业发展有限公司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重庆文世鲜农副产品有限公司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重庆市巴南区康宁农业开发有限公司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重庆稀程食品有限公司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重庆盛汇供应链服务有限公司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重庆怡美捷农产品贸易有限责任公司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重庆春玉食品配送有限公司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重庆本恒食品有限公司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重庆禾牧食品有限公司</w:t>
      </w: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粮油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重庆红蜻蜓油脂有限责任公司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重庆市巴南区储备粮有限公司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永川区徐安红食品经营部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重庆市江津区储备粮有限公司德感分公司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重庆市沙坪坝区储备粮有限公司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重庆市大足区储备粮有限公司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渝中区胡谊明粮油经营部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重庆东强粮油食品有限公司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永川区王喻食品经营部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重庆本家本佳食品有限公司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重庆市铜梁区储备粮有限公司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重庆顺海油脂有限公司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重庆恒杨粮油有限公司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重庆可可香粮油有限公司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重庆莱耀食品有限公司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重庆友安食品有限公司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永川区福旺粮油经营部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重庆磐恒商贸有限公司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重庆渝鼎粮油有限公司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重庆滋采粮油有限公司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重庆祥福盛为实业有限公司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重庆穗花食为天粮油有限公司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重庆蓉彬商贸有限公司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重庆市涪陵区金莹粮油有限公司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重庆粮食集团人和臻源米业有限公司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重庆市四季风日用品有限公司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重庆市恒禾九商贸有限公司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重庆羽书农副产品有限公司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重庆浩双商贸有限公司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双桥经开区雷涵食品店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重庆绿优优生态农业有限公司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重庆彩食鲜供应链发展有限公司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重庆小池塘餐饮有限公司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重庆三湖商务会展有限公司食品销售分公司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重庆市南岸区晓露粮油加工有限公司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重庆申琼商贸有限公司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重庆农懿商贸有限公司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重庆禾可香粮油有限公司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重庆重报电商物流有限公司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鑫鑫农业集团有限公司重庆分公司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重庆玉玲珑商贸有限公司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重庆菜鲜轩商贸有限责任公司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重庆炯奇食品有限公司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永川区徐邦建食品经营部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重庆市岳掌柜餐饮有限公司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重庆国策商贸有限公司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重庆佳琪愿商贸有限公司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重庆耐卓商贸有限公司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重庆绿美佳源农副产品有限公司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欧菲斯办公伙伴重庆有限公司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重庆今合商贸有限公司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重庆稻田香粮油有限公司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重庆膳源汇农业发展有限公司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重庆熙高农产品销售有限公司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重庆传久商贸有限公司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重庆市江津区储备粮有限公司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重庆启商商贸有限公司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乐禾食品集团股份有限公司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重庆新景粮贸易有限公司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重庆美时蔬蔬菜配送有限公司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重庆鲜掌柜供应链管理有限公司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重庆融盛鑫粮油有限公司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重庆农投商贸有限公司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重庆高珀贸易有限公司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中科发（重庆）供应链管理有限公司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黑龙江尚禾米业有限公司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重庆望族食品有限公司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重庆欣田食品有限公司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重庆雨辉农产品开发有限公司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重庆交运物流有限公司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重庆安星食品配送有限公司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重庆市全肯食品开发有限公司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重庆翔吉餐饮管理有限公司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湖北京和米业有限公司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重庆福鑫威农业科技有限公司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重庆新雅供应链管理有限公司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重庆市合川区盛煊农贸市场管理有限责任公司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重庆市合川区人和三江米业有限公司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重庆市荣昌区储备粮有限公司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重庆家佳味商贸有限公司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合序（重庆）生态农业科技有限公司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重庆鑫鑫为民农业发展有限公司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重庆好食尚餐饮文化传播有限公司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北极鲜(重庆)餐饮管理有限公司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重庆允实农业开发有限公司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重庆金厨餐饮管理有限公司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重庆凡希健康管理有限公司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重庆鲜亦惠农业发展有限公司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重庆玉尚礼商贸有限公司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重庆念川米业有限公司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重庆朴真农业发展股份有限公司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井研县林翔米业有限责任公司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重庆食本鲜商贸有限公司</w:t>
      </w:r>
    </w:p>
    <w:p>
      <w:pPr>
        <w:spacing w:after="0" w:line="50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调味干副食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重庆渝里红农业开发有限公司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永川区李文芳食品经营部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重庆喜登食品有限公司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沙坪坝区嘉文食品加工厂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重庆京隆港商贸有限公司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沙坪坝区双恩食品经营部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重庆华生园食品股份有限公司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重庆市巴江水香点食品有限公司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重庆浩润食品有限公司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重庆华浜农产品销售有限公司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张茂燎（个体）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重庆金信龙脊工贸有限公司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重庆市高德江食品销售有限责任公司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重庆双歌食品有限公司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重庆市水调歌头食品有限公司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重庆赵老五商贸有限责任公司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重庆市梁家制面厂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重庆本尊农副产品配送有限公司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重庆龙派安吉尔饮品有限公司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重庆夯勤商贸有限公司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重庆莱凡商贸有限公司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重庆时竞商贸有限公司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重庆笑园食品配送有限公司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重庆康润鲜蔬菜配送有限公司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刘勤（个体）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李怀彬（个体）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重庆菜到佳农产品有限公司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重庆市天润食品开发有限公司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重庆深朗农副食品商贸有限公司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重庆香厨世家商贸有限公司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重庆亿禾蔬农业发展有限公司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重庆耕夫农副产品配送有限公司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重庆雅福食品股份有限公司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重庆泰煜餐饮管理有限公司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重庆橙旺睿选农产品有限责任公司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重庆市铜梁区御丰蔬菜专业合作社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重庆金麦佳食品有限公司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沙坪坝区沐凌副食经营部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沙坪坝区雨博蔬菜批发部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重庆天下都会食品有限公司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重庆德力协偲农业科技有限公司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重庆娃哈哈盛杰桶装水有限责任公司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携手旺农产品销售（重庆）有限公司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重庆佳仙九七食品有限公司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重庆芊嘉农副产品有限公司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四川跨世纪农业发展有限公司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江北区俏农食品批发部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江津区福聚食品经营部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重庆黑克商贸有限公司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李根（个体）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高新技术产业开发区云宽蛋类销售经营部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沙坪坝区谢荣华农副产品经营部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重庆市永川豆豉食品有限公司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重庆盛世繁华食品有限公司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永川区谭昌术蔬菜经营部</w:t>
      </w:r>
    </w:p>
    <w:p>
      <w:pPr>
        <w:spacing w:after="0" w:line="500" w:lineRule="exact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经营学生食堂餐饮企业名单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重庆市吉好食餐饮管理有限公司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重庆御珍苑餐饮管理有限公司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重庆九和源饮食管理有限公司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重庆市麦恩餐饮管理有限公司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重庆莘莘餐饮管理有限公司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重庆友之尊餐饮文化发展有限公司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重庆阳乐餐饮管理有限公司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重庆凡谷餐饮管理有限公司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重庆市延生饮食服务有限公司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重庆韵涵餐饮文化有限公司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四川兴百年餐饮管理有限公司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重庆浩正餐饮管理有限公司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重庆康润饮食服务有限公司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河北千喜鹤饮食股份有限公司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重庆永和豆浆餐饮经营管理有限公司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珠海东森企业管理服务有限公司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重庆前勤餐饮有限公司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重庆海源餐饮管理有限公司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重庆亿立餐饮管理有限公司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重庆恩璐商贸有限公司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重庆快乐食间餐饮管理有限责任公司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重庆品赛餐饮管理有限公司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重庆凡食餐饮管理有限公司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重庆市永川区雄利餐饮有限公司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重庆康乾餐饮文化有限公司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重庆汤师傅秘厨餐饮管理（集团）有限公司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重庆宏丰园餐饮管理有限公司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重庆海嘉饮食文化有限公司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重庆龙之毅餐饮管理有限公司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重庆汇齐餐饮文化有限公司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重庆均衡餐饮管理有限公司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重庆恩通餐饮管理有限公司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重庆融智学校后勤服务有限公司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西科餐饮管理集团有限公司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重庆釜藏餐饮文化有限公司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重庆贤集饮食文化传播有限公司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粟</w:t>
      </w:r>
      <w:r>
        <w:rPr>
          <w:rFonts w:hint="eastAsia" w:ascii="仿宋_GB2312" w:hAnsi="宋体" w:eastAsia="仿宋_GB2312" w:cs="宋体"/>
          <w:sz w:val="28"/>
          <w:szCs w:val="28"/>
        </w:rPr>
        <w:t>菽餐饮管理有限公司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重庆喜满生餐饮文化有限公司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重庆绿点餐饮有限公司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重庆壹罗餐饮管理有限公司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重庆顺心餐饮管理有限公司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重庆厨胜餐饮管理有限公司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重庆渝教科贸集团有限公司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重庆盈科饮食文化有限公司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重庆互兴餐饮管理有限公司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重庆多美佳餐饮有限公司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广东利群膳食管理服务有限公司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重庆巴渝春餐饮管理有限公司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重庆市登峰餐饮管理有限公司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重庆雅福食品股份有限公司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重庆驷和后勤服务有限公司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重庆腾泽餐饮管理有限公司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江苏安信餐饮管理有限公司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武汉锦康餐饮管理有限公司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深圳市统和饮食服务有限公司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重庆栋青餐饮服务有限责任公司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广东中膳健康产业科技有限公司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郑州育贤斋餐饮管理有限公司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重庆鼎宏后勤管理服务有限公司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重庆食街区餐饮文化投资管理有限责任公司</w:t>
      </w:r>
      <w:bookmarkStart w:id="0" w:name="_GoBack"/>
      <w:bookmarkEnd w:id="0"/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重庆凯旭餐饮管理有限公司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重庆蓝泊湾学校后勤管理服务有限公司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重庆厨界餐饮管理有限责任公司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广州市蓝波旺餐饮管理服务有限公司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深圳市德保膳食管理有限公司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成都金源鸿餐饮集团有限公司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浙江禧进甲后勤管理有限公司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重庆腾和餐饮管理有限公司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重庆小池塘餐饮有限公司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重庆市岳掌柜餐饮有限公司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重庆齐膳雅餐饮管理有限公司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南京梅花餐饮管理有限公司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深圳市万民餐饮管理有限公司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杭州笨笨熊餐饮有限公司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天津快客利食品科技咨询有限公司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重庆丹莉餐饮管理有限公司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重庆康膳餐饮管理有限公司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成都恒兴隆膳食管理有限公司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重庆干七餐饮服务有限公司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广州市宝隆饮食管理服务有限公司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江西芒果青年实业有限公司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重庆市天虹学校后勤服务有限公司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重庆市玖鑫酒店有限公司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重庆两江丽景酒店有限公司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北京金丰餐饮有限公司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深圳市都市嘉餐饮管理服务有限公司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重庆凯源餐饮管理有限公司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重庆市合川区学礼饮食服务有限公司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重庆邦兴餐饮管理有限公司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中航物业管理有限公司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重庆育英学校后勤管理有限公司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重庆涛琪餐饮管理有限公司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重庆金芮侨实业有限公司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北京天府邓家菜餐饮管理有限公司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重庆振蓝实业有限公司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四川润育后勤服务有限公司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重庆源胜琴餐饮管理有限公司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重庆市浩源饮食文化有限公司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重庆金科两江大酒店有限公司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重庆菜香源餐饮文化有限公司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四川顺心餐饮投资管理有限公司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云阳县学成餐饮服务有限公司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四川禾之膳后勤服务有限公司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广东香两岸膳食管理服务有限公司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温州好味园餐饮管理服务有限公司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厦门中科苑餐饮管理有限公司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北京快客利餐饮管理有限公司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成都贵兴教育后勤管理有限公司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江苏鸿达餐饮管理有限公司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重庆晟谷餐饮管理有限公司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重庆钰滨鑫餐饮管理有限公司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贵州金麦臣餐饮管理有限公司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重庆康帮餐饮管理有限公司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重庆瑞泰学校后勤管理有限公司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重庆味典餐饮管理有限公司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重庆煮纪餐饮文化有限公司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厦门禾膳堂餐饮管理有限公司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北京健力源餐饮管理有限公司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广州市乐味餐饮管理有限公司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重庆迈航餐饮文化有限公司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重庆市鸿恩寺公园管理有限公司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重庆韵椒餐饮管理有限公司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重庆淳丰餐饮有限公司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北京千喜鹤餐饮管理有限公司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重庆春家益餐饮管理有限公司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东莞市联宏膳食管理服务有限公司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北京万喜餐饮管理有限公司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重庆楷乐柠餐饮服务有限公司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常州百味餐饮管理有限公司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四川喜鹊后勤管理服务有限公司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重庆品睿餐饮管理有限公司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重庆市上生餐饮管理有限公司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上海荷特宝配餐服务有限公司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云南燕军餐饮管理有限公司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重庆御禾园实业有限公司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巫溪县帝豪大酒店有限公司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重庆重房院后勤服务有限公司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北京美餐好客科技有限公司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成都西红柿餐饮管理有限公司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广东天智餐饮集团有限公司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成都双红林餐饮管理有限公司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重庆誉膳道餐饮管理有限公司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重庆名格轩餐饮管理有限公司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      重庆教育后勤协会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      </w:t>
      </w:r>
      <w:r>
        <w:rPr>
          <w:rFonts w:ascii="仿宋_GB2312" w:hAnsi="宋体" w:eastAsia="仿宋_GB2312" w:cs="宋体"/>
          <w:sz w:val="28"/>
          <w:szCs w:val="28"/>
        </w:rPr>
        <w:t>20</w:t>
      </w:r>
      <w:r>
        <w:rPr>
          <w:rFonts w:hint="eastAsia" w:ascii="仿宋_GB2312" w:hAnsi="宋体" w:eastAsia="仿宋_GB2312" w:cs="宋体"/>
          <w:sz w:val="28"/>
          <w:szCs w:val="28"/>
        </w:rPr>
        <w:t>2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</w:t>
      </w:r>
      <w:r>
        <w:rPr>
          <w:rFonts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5</w:t>
      </w:r>
      <w:r>
        <w:rPr>
          <w:rFonts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20</w:t>
      </w:r>
      <w:r>
        <w:rPr>
          <w:rFonts w:ascii="仿宋_GB2312" w:hAnsi="宋体" w:eastAsia="仿宋_GB2312" w:cs="宋体"/>
          <w:sz w:val="28"/>
          <w:szCs w:val="28"/>
        </w:rPr>
        <w:t>日</w:t>
      </w:r>
    </w:p>
    <w:sectPr>
      <w:headerReference r:id="rId5" w:type="default"/>
      <w:headerReference r:id="rId6" w:type="even"/>
      <w:pgSz w:w="11906" w:h="16838"/>
      <w:pgMar w:top="1440" w:right="1080" w:bottom="1440" w:left="1080" w:header="851" w:footer="992" w:gutter="0"/>
      <w:cols w:space="425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kYTIwYmU0MGM3ZDJlNjQ1MzIxMmVlZGY4ZTI4YzEifQ=="/>
  </w:docVars>
  <w:rsids>
    <w:rsidRoot w:val="005077A1"/>
    <w:rsid w:val="00035D08"/>
    <w:rsid w:val="00046BC6"/>
    <w:rsid w:val="000741FC"/>
    <w:rsid w:val="000A6221"/>
    <w:rsid w:val="00111440"/>
    <w:rsid w:val="00117765"/>
    <w:rsid w:val="0013703B"/>
    <w:rsid w:val="00156123"/>
    <w:rsid w:val="001774C1"/>
    <w:rsid w:val="00190005"/>
    <w:rsid w:val="001B3264"/>
    <w:rsid w:val="001C3540"/>
    <w:rsid w:val="001C6FCA"/>
    <w:rsid w:val="001D34F5"/>
    <w:rsid w:val="001E770E"/>
    <w:rsid w:val="00203570"/>
    <w:rsid w:val="002328B8"/>
    <w:rsid w:val="00243216"/>
    <w:rsid w:val="002503F9"/>
    <w:rsid w:val="002C3C31"/>
    <w:rsid w:val="002D55C3"/>
    <w:rsid w:val="002E344B"/>
    <w:rsid w:val="002F0A47"/>
    <w:rsid w:val="002F7208"/>
    <w:rsid w:val="003122F3"/>
    <w:rsid w:val="00347F19"/>
    <w:rsid w:val="00364DFE"/>
    <w:rsid w:val="003716AA"/>
    <w:rsid w:val="003A21E0"/>
    <w:rsid w:val="003B3FB1"/>
    <w:rsid w:val="003C0551"/>
    <w:rsid w:val="003E2FB4"/>
    <w:rsid w:val="00413EBE"/>
    <w:rsid w:val="00413FB2"/>
    <w:rsid w:val="0048441D"/>
    <w:rsid w:val="00492408"/>
    <w:rsid w:val="004D7DAC"/>
    <w:rsid w:val="004F2A6A"/>
    <w:rsid w:val="00504883"/>
    <w:rsid w:val="005077A1"/>
    <w:rsid w:val="00517881"/>
    <w:rsid w:val="00521C85"/>
    <w:rsid w:val="0053478E"/>
    <w:rsid w:val="00567F27"/>
    <w:rsid w:val="005A7B5C"/>
    <w:rsid w:val="005D4B00"/>
    <w:rsid w:val="005F5EA2"/>
    <w:rsid w:val="005F618F"/>
    <w:rsid w:val="005F7185"/>
    <w:rsid w:val="0060381F"/>
    <w:rsid w:val="006122DA"/>
    <w:rsid w:val="00615989"/>
    <w:rsid w:val="006833C1"/>
    <w:rsid w:val="00697573"/>
    <w:rsid w:val="006A045C"/>
    <w:rsid w:val="006A2F69"/>
    <w:rsid w:val="00701939"/>
    <w:rsid w:val="00715012"/>
    <w:rsid w:val="00730A0B"/>
    <w:rsid w:val="007578E3"/>
    <w:rsid w:val="007640EE"/>
    <w:rsid w:val="0076630A"/>
    <w:rsid w:val="007B2E75"/>
    <w:rsid w:val="0080194B"/>
    <w:rsid w:val="008020AA"/>
    <w:rsid w:val="008303BC"/>
    <w:rsid w:val="00864EEE"/>
    <w:rsid w:val="008A7A20"/>
    <w:rsid w:val="0094290B"/>
    <w:rsid w:val="00964AC2"/>
    <w:rsid w:val="009F3CE6"/>
    <w:rsid w:val="00A400A8"/>
    <w:rsid w:val="00A7722A"/>
    <w:rsid w:val="00A77313"/>
    <w:rsid w:val="00A94501"/>
    <w:rsid w:val="00AA7358"/>
    <w:rsid w:val="00AE36BF"/>
    <w:rsid w:val="00AF161C"/>
    <w:rsid w:val="00B040D5"/>
    <w:rsid w:val="00B238AC"/>
    <w:rsid w:val="00B50188"/>
    <w:rsid w:val="00B5540E"/>
    <w:rsid w:val="00B57853"/>
    <w:rsid w:val="00B63B98"/>
    <w:rsid w:val="00BA25E4"/>
    <w:rsid w:val="00BB12D3"/>
    <w:rsid w:val="00BC3C49"/>
    <w:rsid w:val="00C7339E"/>
    <w:rsid w:val="00CE280C"/>
    <w:rsid w:val="00CE6FA8"/>
    <w:rsid w:val="00D17507"/>
    <w:rsid w:val="00D31A21"/>
    <w:rsid w:val="00D34D6D"/>
    <w:rsid w:val="00D47348"/>
    <w:rsid w:val="00D5015D"/>
    <w:rsid w:val="00D742A0"/>
    <w:rsid w:val="00DE3798"/>
    <w:rsid w:val="00E17ED4"/>
    <w:rsid w:val="00E206E3"/>
    <w:rsid w:val="00E2268D"/>
    <w:rsid w:val="00E34457"/>
    <w:rsid w:val="00E62A3B"/>
    <w:rsid w:val="00E80457"/>
    <w:rsid w:val="00EC4266"/>
    <w:rsid w:val="00F1232B"/>
    <w:rsid w:val="00F41308"/>
    <w:rsid w:val="00F44727"/>
    <w:rsid w:val="00F52886"/>
    <w:rsid w:val="00F57C2E"/>
    <w:rsid w:val="00F808BE"/>
    <w:rsid w:val="00F84363"/>
    <w:rsid w:val="00F87A86"/>
    <w:rsid w:val="00FA1AE9"/>
    <w:rsid w:val="00FB2BAC"/>
    <w:rsid w:val="00FC6FC0"/>
    <w:rsid w:val="00FE11B2"/>
    <w:rsid w:val="00FE5638"/>
    <w:rsid w:val="066066D8"/>
    <w:rsid w:val="07D61A3E"/>
    <w:rsid w:val="124605F5"/>
    <w:rsid w:val="15CF3406"/>
    <w:rsid w:val="1662358F"/>
    <w:rsid w:val="1BC4465C"/>
    <w:rsid w:val="1C8D38FB"/>
    <w:rsid w:val="2602365F"/>
    <w:rsid w:val="26A5662E"/>
    <w:rsid w:val="27C7563B"/>
    <w:rsid w:val="27C86C61"/>
    <w:rsid w:val="284D6BA2"/>
    <w:rsid w:val="2E132B1F"/>
    <w:rsid w:val="30E74D20"/>
    <w:rsid w:val="31CB4981"/>
    <w:rsid w:val="34D16EC3"/>
    <w:rsid w:val="38A56112"/>
    <w:rsid w:val="397F5773"/>
    <w:rsid w:val="469F1626"/>
    <w:rsid w:val="47A63AEF"/>
    <w:rsid w:val="49647CCC"/>
    <w:rsid w:val="4B3C0BB5"/>
    <w:rsid w:val="51582490"/>
    <w:rsid w:val="524860E9"/>
    <w:rsid w:val="529B7CF7"/>
    <w:rsid w:val="536C140C"/>
    <w:rsid w:val="53B83194"/>
    <w:rsid w:val="58B8616B"/>
    <w:rsid w:val="66B14F65"/>
    <w:rsid w:val="67BA6F5F"/>
    <w:rsid w:val="68950709"/>
    <w:rsid w:val="68B625CC"/>
    <w:rsid w:val="6E1D048A"/>
    <w:rsid w:val="6F110C23"/>
    <w:rsid w:val="6F77616D"/>
    <w:rsid w:val="708A16F1"/>
    <w:rsid w:val="71817440"/>
    <w:rsid w:val="71DE584B"/>
    <w:rsid w:val="71FE7512"/>
    <w:rsid w:val="72BD6AD7"/>
    <w:rsid w:val="75CA70F1"/>
    <w:rsid w:val="7EAB64AA"/>
    <w:rsid w:val="7F122229"/>
    <w:rsid w:val="7FF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62626" w:themeColor="text1" w:themeTint="D9"/>
      <w:sz w:val="32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2626" w:themeColor="text1" w:themeTint="D9"/>
      <w:sz w:val="28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D0D0D" w:themeColor="text1" w:themeTint="F2"/>
      <w:sz w:val="24"/>
      <w:szCs w:val="24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styleId="17">
    <w:name w:val="Title"/>
    <w:basedOn w:val="1"/>
    <w:next w:val="1"/>
    <w:link w:val="31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20">
    <w:name w:val="Strong"/>
    <w:basedOn w:val="19"/>
    <w:qFormat/>
    <w:uiPriority w:val="22"/>
    <w:rPr>
      <w:b/>
      <w:bCs/>
      <w:color w:val="auto"/>
    </w:rPr>
  </w:style>
  <w:style w:type="character" w:styleId="21">
    <w:name w:val="Emphasis"/>
    <w:basedOn w:val="19"/>
    <w:qFormat/>
    <w:uiPriority w:val="20"/>
    <w:rPr>
      <w:i/>
      <w:iCs/>
      <w:color w:val="auto"/>
    </w:rPr>
  </w:style>
  <w:style w:type="character" w:customStyle="1" w:styleId="22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color w:val="262626" w:themeColor="text1" w:themeTint="D9"/>
      <w:sz w:val="32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8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标题 3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0D0D0D" w:themeColor="text1" w:themeTint="F2"/>
      <w:sz w:val="24"/>
      <w:szCs w:val="24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25">
    <w:name w:val="标题 4 Char"/>
    <w:basedOn w:val="19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6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28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</w:rPr>
  </w:style>
  <w:style w:type="character" w:customStyle="1" w:styleId="29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1">
    <w:name w:val="标题 Char"/>
    <w:basedOn w:val="19"/>
    <w:link w:val="17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32">
    <w:name w:val="副标题 Char"/>
    <w:basedOn w:val="19"/>
    <w:link w:val="15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styleId="35">
    <w:name w:val="Quote"/>
    <w:basedOn w:val="1"/>
    <w:next w:val="1"/>
    <w:link w:val="36"/>
    <w:qFormat/>
    <w:uiPriority w:val="29"/>
    <w:pPr>
      <w:spacing w:before="20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Char"/>
    <w:basedOn w:val="19"/>
    <w:link w:val="35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3F3F3F" w:themeColor="text1" w:themeTint="BF" w:sz="4" w:space="10"/>
        <w:bottom w:val="single" w:color="3F3F3F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明显引用 Char"/>
    <w:basedOn w:val="19"/>
    <w:link w:val="37"/>
    <w:qFormat/>
    <w:uiPriority w:val="30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Subtle Emphasis"/>
    <w:basedOn w:val="1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9"/>
    <w:qFormat/>
    <w:uiPriority w:val="21"/>
    <w:rPr>
      <w:b/>
      <w:bCs/>
      <w:i/>
      <w:iCs/>
      <w:color w:val="auto"/>
    </w:rPr>
  </w:style>
  <w:style w:type="character" w:customStyle="1" w:styleId="41">
    <w:name w:val="Subtle Reference"/>
    <w:basedOn w:val="19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Intense Reference"/>
    <w:basedOn w:val="19"/>
    <w:qFormat/>
    <w:uiPriority w:val="32"/>
    <w:rPr>
      <w:b/>
      <w:bCs/>
      <w:smallCaps/>
      <w:color w:val="404040" w:themeColor="text1" w:themeTint="BF"/>
      <w:spacing w:val="5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Book Title"/>
    <w:basedOn w:val="19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9"/>
    <w:link w:val="14"/>
    <w:qFormat/>
    <w:uiPriority w:val="99"/>
    <w:rPr>
      <w:sz w:val="18"/>
      <w:szCs w:val="18"/>
    </w:rPr>
  </w:style>
  <w:style w:type="character" w:customStyle="1" w:styleId="46">
    <w:name w:val="页脚 Char"/>
    <w:basedOn w:val="19"/>
    <w:link w:val="13"/>
    <w:qFormat/>
    <w:uiPriority w:val="99"/>
    <w:rPr>
      <w:sz w:val="18"/>
      <w:szCs w:val="18"/>
    </w:rPr>
  </w:style>
  <w:style w:type="character" w:customStyle="1" w:styleId="47">
    <w:name w:val="批注框文本 Char"/>
    <w:basedOn w:val="19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8E2DD0-E719-4846-AB20-41A38473E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6608</Words>
  <Characters>6612</Characters>
  <Lines>62</Lines>
  <Paragraphs>17</Paragraphs>
  <TotalTime>16</TotalTime>
  <ScaleCrop>false</ScaleCrop>
  <LinksUpToDate>false</LinksUpToDate>
  <CharactersWithSpaces>6819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2018-11-27T02:26:00Z</dcterms:created>
  <dc:creator>微软用户</dc:creator>
  <cp:lastModifiedBy>吴东</cp:lastModifiedBy>
  <cp:lastPrinted>2019-11-15T03:47:00Z</cp:lastPrinted>
  <dcterms:modified xsi:type="dcterms:W3CDTF">2022-06-14T07:48:07Z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1BA05DC6CDE9497FBFF820F4D89972F4</vt:lpwstr>
  </property>
  <property fmtid="{D5CDD505-2E9C-101B-9397-08002B2CF9AE}" pid="4" name="KSOSaveFontToCloudKey">
    <vt:lpwstr>692045124_btnclosed</vt:lpwstr>
  </property>
</Properties>
</file>